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5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7224"/>
      </w:tblGrid>
      <w:tr>
        <w:tblPrEx/>
        <w:trPr/>
        <w:tc>
          <w:tcPr>
            <w:tcW w:w="2972" w:type="dxa"/>
            <w:textDirection w:val="lrTb"/>
            <w:noWrap w:val="false"/>
          </w:tcPr>
          <w:p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0135" cy="105918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0135" cy="1059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21.27pt;height:83.4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d9d9d9" w:themeFill="background1" w:themeFillShade="D9"/>
            <w:tcW w:w="7224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  <w:shd w:val="clear" w:color="auto" w:fill="d9d9d9" w:themeFill="background1" w:themeFillShade="D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  <w:p>
            <w:pPr>
              <w:jc w:val="center"/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«АЛЬЯНС»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</w:tbl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документов к заявлению на тех присоединение физ. лица.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заявке о подключении, направляемой заявителем единому оператору газификации, региональному оператору газификации или исполнителю, прилагаются следующие документы: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ситуационный план;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топографиче</w:t>
      </w:r>
      <w:r>
        <w:rPr>
          <w:rFonts w:ascii="Times New Roman" w:hAnsi="Times New Roman" w:cs="Times New Roman"/>
          <w:sz w:val="24"/>
          <w:szCs w:val="24"/>
        </w:rPr>
        <w:t xml:space="preserve">ская карта земельного участка заявителя в масштабе 1:500 (со всеми наземными и подземными коммуникациями и сооружениями), согласованная с организациями, эксплуатирующими указанные коммуникации и сооружения (не прилагается, если заказчик - физическое лицо);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копия документа, подтверждающего право собственнос</w:t>
      </w:r>
      <w:r>
        <w:rPr>
          <w:rFonts w:ascii="Times New Roman" w:hAnsi="Times New Roman" w:cs="Times New Roman"/>
          <w:sz w:val="24"/>
          <w:szCs w:val="24"/>
        </w:rPr>
        <w:t xml:space="preserve">ти или иное предусмотренное законом право на объект капитального строительства и (или) земельный участок, на котором расположены (будут располагаться) объекты капитального строительства заявителя (не требуется в случае подачи заявки о подключении в рамках </w:t>
      </w:r>
      <w:hyperlink w:tooltip="#P442" w:anchor="P44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раздела VII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догазификация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настоящих Правил). В случае отсутствия правоустанавливающих документов на земельный участок при осуществлении строительства, реконстру</w:t>
      </w:r>
      <w:r>
        <w:rPr>
          <w:rFonts w:ascii="Times New Roman" w:hAnsi="Times New Roman" w:cs="Times New Roman"/>
          <w:sz w:val="24"/>
          <w:szCs w:val="24"/>
        </w:rPr>
        <w:t xml:space="preserve">кции в рамках реализации программы реновации жилищного фонда в г. Москве заявитель представляет копию схемы расположения земельного участка или земельных участков на кадастровом плане территории, утвержденной уполномоченным органом исполнительной власти г.</w:t>
      </w:r>
      <w:r>
        <w:rPr>
          <w:rFonts w:ascii="Times New Roman" w:hAnsi="Times New Roman" w:cs="Times New Roman"/>
          <w:sz w:val="24"/>
          <w:szCs w:val="24"/>
        </w:rPr>
        <w:t xml:space="preserve"> Москвы. При осуществлении строительства, реконструкции объекта федерального значения, объекта регионального значения или объекта местного значения на земельном участке или земельных участках, образованных из земель и (или) земельных участков, указанных в </w:t>
      </w:r>
      <w:hyperlink r:id="rId9" w:tooltip="consultantplus://offline/ref=A3E5F269E8448A6248FE455235B39D79A2404342AE18BED1CCDC902BE643A550DEF03EDD33649878DC906C104C167DC9DF16E5ACD656BA0AO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части 7.3 статьи 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заявитель представляет реквизиты утвержденного проекта межевания территории либо копию схемы расположения земельного участка или земельных участков на кадастровом плане территории;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доверенность или иные документы, подтверждающие полномочия представителя заявителя (в случае, если заявка о подключении подается представителем заявителя);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расчет максимального часового расхода газа (не прилагается, если планируемый максимальный часовой расход газа не более 7 куб. метров);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документы, предусмотренные </w:t>
      </w:r>
      <w:hyperlink w:tooltip="#P387" w:anchor="P38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106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в случае предоставления технических условий при уступке мощности;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копия разработанной и утвержденной в соответствии с законодательством Российской Федерации документации по планировке территории (п</w:t>
      </w:r>
      <w:r>
        <w:rPr>
          <w:rFonts w:ascii="Times New Roman" w:hAnsi="Times New Roman" w:cs="Times New Roman"/>
          <w:sz w:val="24"/>
          <w:szCs w:val="24"/>
        </w:rPr>
        <w:t xml:space="preserve">роект планировки территории и проект межевания территории), предусматривающей строительство сети газопотребления в пределах территории, подлежащей комплексному развитию, в случае осуществления подключения (технологического присоединения), предусмотренного </w:t>
      </w:r>
      <w:hyperlink w:tooltip="#P368" w:anchor="P36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97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копия документа, подтверждающего право собственности или иное предусмотренное законом право на домовладение (объект индивидуального жилищного строительства или ч</w:t>
      </w:r>
      <w:r>
        <w:rPr>
          <w:rFonts w:ascii="Times New Roman" w:hAnsi="Times New Roman" w:cs="Times New Roman"/>
          <w:sz w:val="24"/>
          <w:szCs w:val="24"/>
        </w:rPr>
        <w:t xml:space="preserve">асть жилого дома блокированной застройки) и земельный участок, на котором расположено домовладение заявителя, а также страховой номер индивидуального лицевого счета и идентификационный номер налогоплательщика (в случае подачи заявки о подключении в рамках </w:t>
      </w:r>
      <w:hyperlink w:tooltip="#P442" w:anchor="P44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раздела VII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566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7"/>
    <w:link w:val="639"/>
    <w:uiPriority w:val="10"/>
    <w:rPr>
      <w:sz w:val="48"/>
      <w:szCs w:val="48"/>
    </w:rPr>
  </w:style>
  <w:style w:type="character" w:styleId="37">
    <w:name w:val="Subtitle Char"/>
    <w:basedOn w:val="627"/>
    <w:link w:val="641"/>
    <w:uiPriority w:val="11"/>
    <w:rPr>
      <w:sz w:val="24"/>
      <w:szCs w:val="24"/>
    </w:rPr>
  </w:style>
  <w:style w:type="character" w:styleId="39">
    <w:name w:val="Quote Char"/>
    <w:link w:val="643"/>
    <w:uiPriority w:val="29"/>
    <w:rPr>
      <w:i/>
    </w:rPr>
  </w:style>
  <w:style w:type="character" w:styleId="41">
    <w:name w:val="Intense Quote Char"/>
    <w:link w:val="647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3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19">
    <w:name w:val="Heading 2"/>
    <w:basedOn w:val="617"/>
    <w:next w:val="617"/>
    <w:link w:val="63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0">
    <w:name w:val="Heading 3"/>
    <w:basedOn w:val="617"/>
    <w:next w:val="617"/>
    <w:link w:val="63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1">
    <w:name w:val="Heading 4"/>
    <w:basedOn w:val="617"/>
    <w:next w:val="617"/>
    <w:link w:val="63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2">
    <w:name w:val="Heading 5"/>
    <w:basedOn w:val="617"/>
    <w:next w:val="617"/>
    <w:link w:val="63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3">
    <w:name w:val="Heading 6"/>
    <w:basedOn w:val="617"/>
    <w:next w:val="617"/>
    <w:link w:val="63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4">
    <w:name w:val="Heading 7"/>
    <w:basedOn w:val="617"/>
    <w:next w:val="617"/>
    <w:link w:val="63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5">
    <w:name w:val="Heading 8"/>
    <w:basedOn w:val="617"/>
    <w:next w:val="617"/>
    <w:link w:val="63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6">
    <w:name w:val="Heading 9"/>
    <w:basedOn w:val="617"/>
    <w:next w:val="617"/>
    <w:link w:val="63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character" w:styleId="630" w:customStyle="1">
    <w:name w:val="Заголовок 1 Знак"/>
    <w:basedOn w:val="627"/>
    <w:link w:val="6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1" w:customStyle="1">
    <w:name w:val="Заголовок 2 Знак"/>
    <w:basedOn w:val="627"/>
    <w:link w:val="6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2" w:customStyle="1">
    <w:name w:val="Заголовок 3 Знак"/>
    <w:basedOn w:val="627"/>
    <w:link w:val="6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3" w:customStyle="1">
    <w:name w:val="Заголовок 4 Знак"/>
    <w:basedOn w:val="627"/>
    <w:link w:val="62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34" w:customStyle="1">
    <w:name w:val="Заголовок 5 Знак"/>
    <w:basedOn w:val="627"/>
    <w:link w:val="622"/>
    <w:uiPriority w:val="9"/>
    <w:semiHidden/>
    <w:rPr>
      <w:rFonts w:eastAsiaTheme="majorEastAsia" w:cstheme="majorBidi"/>
      <w:color w:val="2f5496" w:themeColor="accent1" w:themeShade="BF"/>
    </w:rPr>
  </w:style>
  <w:style w:type="character" w:styleId="635" w:customStyle="1">
    <w:name w:val="Заголовок 6 Знак"/>
    <w:basedOn w:val="627"/>
    <w:link w:val="6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6" w:customStyle="1">
    <w:name w:val="Заголовок 7 Знак"/>
    <w:basedOn w:val="627"/>
    <w:link w:val="624"/>
    <w:uiPriority w:val="9"/>
    <w:semiHidden/>
    <w:rPr>
      <w:rFonts w:eastAsiaTheme="majorEastAsia" w:cstheme="majorBidi"/>
      <w:color w:val="595959" w:themeColor="text1" w:themeTint="A6"/>
    </w:rPr>
  </w:style>
  <w:style w:type="character" w:styleId="637" w:customStyle="1">
    <w:name w:val="Заголовок 8 Знак"/>
    <w:basedOn w:val="627"/>
    <w:link w:val="6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8" w:customStyle="1">
    <w:name w:val="Заголовок 9 Знак"/>
    <w:basedOn w:val="627"/>
    <w:link w:val="626"/>
    <w:uiPriority w:val="9"/>
    <w:semiHidden/>
    <w:rPr>
      <w:rFonts w:eastAsiaTheme="majorEastAsia" w:cstheme="majorBidi"/>
      <w:color w:val="272727" w:themeColor="text1" w:themeTint="D8"/>
    </w:rPr>
  </w:style>
  <w:style w:type="paragraph" w:styleId="639">
    <w:name w:val="Title"/>
    <w:basedOn w:val="617"/>
    <w:next w:val="617"/>
    <w:link w:val="64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0" w:customStyle="1">
    <w:name w:val="Заголовок Знак"/>
    <w:basedOn w:val="627"/>
    <w:link w:val="6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1">
    <w:name w:val="Subtitle"/>
    <w:basedOn w:val="617"/>
    <w:next w:val="617"/>
    <w:link w:val="64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2" w:customStyle="1">
    <w:name w:val="Подзаголовок Знак"/>
    <w:basedOn w:val="627"/>
    <w:link w:val="6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3">
    <w:name w:val="Quote"/>
    <w:basedOn w:val="617"/>
    <w:next w:val="617"/>
    <w:link w:val="64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4" w:customStyle="1">
    <w:name w:val="Цитата 2 Знак"/>
    <w:basedOn w:val="627"/>
    <w:link w:val="643"/>
    <w:uiPriority w:val="29"/>
    <w:rPr>
      <w:i/>
      <w:iCs/>
      <w:color w:val="404040" w:themeColor="text1" w:themeTint="BF"/>
    </w:rPr>
  </w:style>
  <w:style w:type="paragraph" w:styleId="645">
    <w:name w:val="List Paragraph"/>
    <w:basedOn w:val="617"/>
    <w:uiPriority w:val="34"/>
    <w:qFormat/>
    <w:pPr>
      <w:contextualSpacing/>
      <w:ind w:left="720"/>
    </w:pPr>
  </w:style>
  <w:style w:type="character" w:styleId="646">
    <w:name w:val="Intense Emphasis"/>
    <w:basedOn w:val="627"/>
    <w:uiPriority w:val="21"/>
    <w:qFormat/>
    <w:rPr>
      <w:i/>
      <w:iCs/>
      <w:color w:val="2f5496" w:themeColor="accent1" w:themeShade="BF"/>
    </w:rPr>
  </w:style>
  <w:style w:type="paragraph" w:styleId="647">
    <w:name w:val="Intense Quote"/>
    <w:basedOn w:val="617"/>
    <w:next w:val="617"/>
    <w:link w:val="64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48" w:customStyle="1">
    <w:name w:val="Выделенная цитата Знак"/>
    <w:basedOn w:val="627"/>
    <w:link w:val="647"/>
    <w:uiPriority w:val="30"/>
    <w:rPr>
      <w:i/>
      <w:iCs/>
      <w:color w:val="2f5496" w:themeColor="accent1" w:themeShade="BF"/>
    </w:rPr>
  </w:style>
  <w:style w:type="character" w:styleId="649">
    <w:name w:val="Intense Reference"/>
    <w:basedOn w:val="627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65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  <w14:ligatures w14:val="none"/>
    </w:rPr>
  </w:style>
  <w:style w:type="table" w:styleId="651">
    <w:name w:val="Table Grid"/>
    <w:basedOn w:val="62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consultantplus://offline/ref=A3E5F269E8448A6248FE455235B39D79A2404342AE18BED1CCDC902BE643A550DEF03EDD33649878DC906C104C167DC9DF16E5ACD656BA0A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Алена Дмитриевна Порошина</cp:lastModifiedBy>
  <cp:revision>2</cp:revision>
  <dcterms:created xsi:type="dcterms:W3CDTF">2025-05-15T06:46:00Z</dcterms:created>
  <dcterms:modified xsi:type="dcterms:W3CDTF">2025-09-03T13:12:07Z</dcterms:modified>
</cp:coreProperties>
</file>